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致安省中医师及针灸师管理局，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我们对管理局最近提出的费用增长持反对态度，原因如下</w:t>
      </w:r>
      <w:r>
        <w:rPr>
          <w:rFonts w:ascii="NSimSun" w:eastAsia="NSimSun" w:hAnsi="NSimSun" w:cs="NSimSun"/>
        </w:rPr>
        <w:t>: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 xml:space="preserve">1. </w:t>
      </w:r>
      <w:r>
        <w:rPr>
          <w:rFonts w:ascii="NSimSun" w:eastAsia="NSimSun" w:hAnsi="NSimSun" w:cs="NSimSun"/>
        </w:rPr>
        <w:t>管理局初次设定的注册费和年续费相对其他行业并不低</w:t>
      </w:r>
      <w:r>
        <w:rPr>
          <w:rFonts w:ascii="NSimSun" w:eastAsia="NSimSun" w:hAnsi="NSimSun" w:cs="NSimSun"/>
        </w:rPr>
        <w:t>.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例如</w:t>
      </w:r>
      <w:r>
        <w:rPr>
          <w:rFonts w:ascii="NSimSun" w:eastAsia="NSimSun" w:hAnsi="NSimSun" w:cs="NSimSun"/>
        </w:rPr>
        <w:t xml:space="preserve">: </w:t>
      </w:r>
      <w:r>
        <w:rPr>
          <w:rFonts w:ascii="NSimSun" w:eastAsia="NSimSun" w:hAnsi="NSimSun" w:cs="NSimSun"/>
        </w:rPr>
        <w:t>注册按摩师的年费为</w:t>
      </w:r>
      <w:r>
        <w:rPr>
          <w:rFonts w:ascii="NSimSun" w:eastAsia="NSimSun" w:hAnsi="NSimSun" w:cs="NSimSun"/>
        </w:rPr>
        <w:t>560</w:t>
      </w:r>
      <w:r>
        <w:rPr>
          <w:rFonts w:ascii="NSimSun" w:eastAsia="NSimSun" w:hAnsi="NSimSun" w:cs="NSimSun"/>
        </w:rPr>
        <w:t>加币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药剂师年费为</w:t>
      </w:r>
      <w:r>
        <w:rPr>
          <w:rFonts w:ascii="NSimSun" w:eastAsia="NSimSun" w:hAnsi="NSimSun" w:cs="NSimSun"/>
        </w:rPr>
        <w:t>678</w:t>
      </w:r>
      <w:r>
        <w:rPr>
          <w:rFonts w:ascii="NSimSun" w:eastAsia="NSimSun" w:hAnsi="NSimSun" w:cs="NSimSun"/>
        </w:rPr>
        <w:t>加币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物理治疗师年费为</w:t>
      </w:r>
      <w:r>
        <w:rPr>
          <w:rFonts w:ascii="NSimSun" w:eastAsia="NSimSun" w:hAnsi="NSimSun" w:cs="NSimSun"/>
        </w:rPr>
        <w:t>635</w:t>
      </w:r>
      <w:r>
        <w:rPr>
          <w:rFonts w:ascii="NSimSun" w:eastAsia="NSimSun" w:hAnsi="NSimSun" w:cs="NSimSun"/>
        </w:rPr>
        <w:t>加币</w:t>
      </w:r>
    </w:p>
    <w:p w:rsidR="003561E0" w:rsidRDefault="003F741D">
      <w:pPr>
        <w:spacing w:line="240" w:lineRule="auto"/>
      </w:pPr>
      <w:r>
        <w:rPr>
          <w:rFonts w:ascii="NSimSun" w:eastAsia="NSimSun" w:hAnsi="NSimSun" w:cs="NSimSun"/>
        </w:rPr>
        <w:t>我们目前含税的年费为</w:t>
      </w:r>
      <w:r>
        <w:rPr>
          <w:rFonts w:ascii="NSimSun" w:eastAsia="NSimSun" w:hAnsi="NSimSun" w:cs="NSimSun"/>
        </w:rPr>
        <w:t>960.50</w:t>
      </w:r>
      <w:r>
        <w:rPr>
          <w:rFonts w:ascii="NSimSun" w:eastAsia="NSimSun" w:hAnsi="NSimSun" w:cs="NSimSun"/>
        </w:rPr>
        <w:t>加币，排在安省第五位，</w:t>
      </w:r>
    </w:p>
    <w:p w:rsidR="003561E0" w:rsidRDefault="003F741D">
      <w:r>
        <w:rPr>
          <w:rFonts w:ascii="NSimSun" w:eastAsia="NSimSun" w:hAnsi="NSimSun" w:cs="NSimSun"/>
        </w:rPr>
        <w:t xml:space="preserve">2, </w:t>
      </w:r>
      <w:r>
        <w:rPr>
          <w:rFonts w:ascii="NSimSun" w:eastAsia="NSimSun" w:hAnsi="NSimSun" w:cs="NSimSun"/>
        </w:rPr>
        <w:t>现管理局提议，年费在安省消费物价比指数增长的基础上增加</w:t>
      </w:r>
      <w:r>
        <w:rPr>
          <w:rFonts w:ascii="NSimSun" w:eastAsia="NSimSun" w:hAnsi="NSimSun" w:cs="NSimSun"/>
        </w:rPr>
        <w:t>2%</w:t>
      </w:r>
      <w:r>
        <w:rPr>
          <w:rFonts w:ascii="NSimSun" w:eastAsia="NSimSun" w:hAnsi="NSimSun" w:cs="NSimSun"/>
        </w:rPr>
        <w:t>。（请提出这算式的理据何在？）我们查看了其他（医疗）行业管理局，没有任何管理局提出这样的增长方式。同时按照这样的增长幅度，</w:t>
      </w:r>
      <w:r>
        <w:rPr>
          <w:rFonts w:ascii="NSimSun" w:eastAsia="NSimSun" w:hAnsi="NSimSun" w:cs="NSimSun"/>
        </w:rPr>
        <w:t>10</w:t>
      </w:r>
      <w:r>
        <w:rPr>
          <w:rFonts w:ascii="NSimSun" w:eastAsia="NSimSun" w:hAnsi="NSimSun" w:cs="NSimSun"/>
        </w:rPr>
        <w:t>年之后，我们的年费会上升到很可观的数目。</w:t>
      </w:r>
    </w:p>
    <w:p w:rsidR="003561E0" w:rsidRDefault="003F741D">
      <w:r>
        <w:rPr>
          <w:rFonts w:ascii="NSimSun" w:eastAsia="NSimSun" w:hAnsi="NSimSun" w:cs="NSimSun"/>
        </w:rPr>
        <w:t>3</w:t>
      </w:r>
      <w:r>
        <w:rPr>
          <w:rFonts w:ascii="NSimSun" w:eastAsia="NSimSun" w:hAnsi="NSimSun" w:cs="NSimSun"/>
        </w:rPr>
        <w:t>，自从管理局成立之后，我们在原来必须缴纳的保险费，协会费用的基础上又增加了管理局注册费和年续费，而我们的病人收费并没有提高。同时，我们的针灸还没有被许多保险公司投保，我们没有在管理局成立之后扩大我们病人的范围。也就是说，我们在收入没有增加的情况下，需要承担额外且每年增加的支出。</w:t>
      </w:r>
    </w:p>
    <w:p w:rsidR="003561E0" w:rsidRDefault="003F741D">
      <w:r>
        <w:rPr>
          <w:rFonts w:ascii="NSimSun" w:eastAsia="NSimSun" w:hAnsi="NSimSun" w:cs="NSimSun"/>
        </w:rPr>
        <w:t>我们理解管理局需要运行费用以完成其所需要履行的职责，但是我们也希望管理局考虑我们所有中医师和针灸师的实际情况，能撤消对注册费和年续费增加的提议。</w:t>
      </w:r>
    </w:p>
    <w:p w:rsidR="003561E0" w:rsidRDefault="003F741D">
      <w:pPr>
        <w:spacing w:line="240" w:lineRule="auto"/>
      </w:pPr>
      <w:r>
        <w:rPr>
          <w:sz w:val="24"/>
        </w:rPr>
        <w:t xml:space="preserve">To The CTCMPAO, </w:t>
      </w:r>
    </w:p>
    <w:p w:rsidR="003561E0" w:rsidRDefault="003F741D">
      <w:pPr>
        <w:spacing w:line="240" w:lineRule="auto"/>
      </w:pPr>
      <w:r>
        <w:rPr>
          <w:sz w:val="24"/>
          <w:u w:val="single"/>
        </w:rPr>
        <w:t>Proposed by-law amendment No.. 200, 201 re:  change to registration fee structure</w:t>
      </w:r>
    </w:p>
    <w:p w:rsidR="003561E0" w:rsidRDefault="003F741D">
      <w:pPr>
        <w:spacing w:line="240" w:lineRule="auto"/>
      </w:pPr>
      <w:r>
        <w:rPr>
          <w:sz w:val="24"/>
        </w:rPr>
        <w:t xml:space="preserve">We have the following objections regarding the proposed </w:t>
      </w:r>
      <w:r>
        <w:rPr>
          <w:sz w:val="24"/>
        </w:rPr>
        <w:t>b</w:t>
      </w:r>
      <w:r>
        <w:rPr>
          <w:sz w:val="24"/>
        </w:rPr>
        <w:t>y-law amendments:</w:t>
      </w:r>
    </w:p>
    <w:p w:rsidR="003561E0" w:rsidRDefault="003F741D">
      <w:pPr>
        <w:spacing w:line="240" w:lineRule="auto"/>
      </w:pPr>
      <w:r>
        <w:rPr>
          <w:sz w:val="24"/>
        </w:rPr>
        <w:t xml:space="preserve">1) The </w:t>
      </w:r>
      <w:r>
        <w:rPr>
          <w:sz w:val="24"/>
        </w:rPr>
        <w:t>o</w:t>
      </w:r>
      <w:r>
        <w:rPr>
          <w:sz w:val="24"/>
        </w:rPr>
        <w:t>riginal and current</w:t>
      </w:r>
      <w:r>
        <w:rPr>
          <w:sz w:val="24"/>
        </w:rPr>
        <w:t xml:space="preserve"> registration application fee and annual renewal fee is already high when compared wit</w:t>
      </w:r>
      <w:r>
        <w:rPr>
          <w:sz w:val="24"/>
        </w:rPr>
        <w:t>h</w:t>
      </w:r>
      <w:r>
        <w:rPr>
          <w:sz w:val="24"/>
        </w:rPr>
        <w:t xml:space="preserve"> most of the other regulated health professions in Ontario.  At the same time, our professional service fees </w:t>
      </w:r>
      <w:r>
        <w:rPr>
          <w:sz w:val="24"/>
        </w:rPr>
        <w:t>tend towards the</w:t>
      </w:r>
      <w:r>
        <w:rPr>
          <w:sz w:val="24"/>
        </w:rPr>
        <w:t xml:space="preserve"> humbly modest end of the</w:t>
      </w:r>
      <w:r>
        <w:rPr>
          <w:sz w:val="24"/>
        </w:rPr>
        <w:t xml:space="preserve"> scale (if not the lowest).  To illustrate this point, please consider</w:t>
      </w:r>
      <w:r>
        <w:rPr>
          <w:sz w:val="24"/>
        </w:rPr>
        <w:t xml:space="preserve"> these e</w:t>
      </w:r>
      <w:r>
        <w:rPr>
          <w:sz w:val="24"/>
        </w:rPr>
        <w:t>xamples of annual registration fees:</w:t>
      </w:r>
    </w:p>
    <w:p w:rsidR="003561E0" w:rsidRDefault="003F741D">
      <w:pPr>
        <w:numPr>
          <w:ilvl w:val="0"/>
          <w:numId w:val="1"/>
        </w:numPr>
        <w:ind w:left="720" w:hanging="419"/>
      </w:pPr>
      <w:r>
        <w:rPr>
          <w:sz w:val="24"/>
        </w:rPr>
        <w:t>Registered Massage Therap</w:t>
      </w:r>
      <w:r>
        <w:rPr>
          <w:sz w:val="24"/>
        </w:rPr>
        <w:t>ist -</w:t>
      </w:r>
      <w:r>
        <w:rPr>
          <w:sz w:val="24"/>
        </w:rPr>
        <w:t xml:space="preserve"> annual fee is $560 (Subject to CPI adjustment);</w:t>
      </w:r>
    </w:p>
    <w:p w:rsidR="003561E0" w:rsidRDefault="003F741D">
      <w:pPr>
        <w:numPr>
          <w:ilvl w:val="0"/>
          <w:numId w:val="1"/>
        </w:numPr>
        <w:ind w:left="720" w:hanging="419"/>
      </w:pPr>
      <w:r>
        <w:rPr>
          <w:sz w:val="24"/>
        </w:rPr>
        <w:t>Pharmacists - $678 (No CPI provision);</w:t>
      </w:r>
    </w:p>
    <w:p w:rsidR="003561E0" w:rsidRDefault="003F741D">
      <w:pPr>
        <w:numPr>
          <w:ilvl w:val="0"/>
          <w:numId w:val="1"/>
        </w:numPr>
        <w:ind w:left="720" w:hanging="419"/>
      </w:pPr>
      <w:r>
        <w:rPr>
          <w:sz w:val="24"/>
        </w:rPr>
        <w:lastRenderedPageBreak/>
        <w:t>Physiotherapists - $635</w:t>
      </w:r>
      <w:r>
        <w:rPr>
          <w:sz w:val="24"/>
        </w:rPr>
        <w:t xml:space="preserve"> (No CPI provision).</w:t>
      </w:r>
    </w:p>
    <w:p w:rsidR="003561E0" w:rsidRDefault="003F741D">
      <w:pPr>
        <w:spacing w:line="240" w:lineRule="auto"/>
      </w:pPr>
      <w:r>
        <w:rPr>
          <w:sz w:val="24"/>
        </w:rPr>
        <w:t xml:space="preserve">Currently, our annual fee </w:t>
      </w:r>
      <w:r w:rsidR="00A77DDB">
        <w:rPr>
          <w:sz w:val="24"/>
        </w:rPr>
        <w:t xml:space="preserve">of </w:t>
      </w:r>
      <w:r w:rsidR="00A77DDB" w:rsidRPr="00A77DDB">
        <w:rPr>
          <w:sz w:val="24"/>
        </w:rPr>
        <w:t xml:space="preserve">2015 </w:t>
      </w:r>
      <w:r w:rsidR="00A77DDB">
        <w:rPr>
          <w:sz w:val="24"/>
        </w:rPr>
        <w:t xml:space="preserve">- $1192.69 ($1055.48+HST) </w:t>
      </w:r>
      <w:r w:rsidR="00A77DDB" w:rsidRPr="00A77DDB">
        <w:rPr>
          <w:sz w:val="24"/>
        </w:rPr>
        <w:t>4.4% increase over 2014</w:t>
      </w:r>
      <w:r w:rsidR="00A77DDB">
        <w:rPr>
          <w:sz w:val="24"/>
        </w:rPr>
        <w:t xml:space="preserve"> </w:t>
      </w:r>
      <w:r>
        <w:rPr>
          <w:sz w:val="24"/>
        </w:rPr>
        <w:t>is the fifth</w:t>
      </w:r>
      <w:r>
        <w:rPr>
          <w:sz w:val="24"/>
        </w:rPr>
        <w:t xml:space="preserve"> </w:t>
      </w:r>
      <w:r>
        <w:rPr>
          <w:sz w:val="24"/>
        </w:rPr>
        <w:t xml:space="preserve">most expensive registration fee amongst twenty-seven regulated health professions in Ontario. </w:t>
      </w:r>
    </w:p>
    <w:p w:rsidR="003561E0" w:rsidRDefault="003F741D">
      <w:pPr>
        <w:spacing w:line="240" w:lineRule="auto"/>
      </w:pPr>
      <w:r>
        <w:rPr>
          <w:sz w:val="24"/>
        </w:rPr>
        <w:t>2) No other healthcare regulatory body has a mandatory 2% surcharge on top of the annual C</w:t>
      </w:r>
      <w:r>
        <w:rPr>
          <w:sz w:val="24"/>
        </w:rPr>
        <w:t>PI adjustment. According to these proposed amendments, our registration renewal fee will be increased significantly over years</w:t>
      </w:r>
      <w:r>
        <w:rPr>
          <w:sz w:val="24"/>
        </w:rPr>
        <w:t xml:space="preserve"> to the point we will </w:t>
      </w:r>
      <w:r>
        <w:rPr>
          <w:sz w:val="24"/>
        </w:rPr>
        <w:t>very likely be amongst the</w:t>
      </w:r>
      <w:r>
        <w:rPr>
          <w:sz w:val="24"/>
        </w:rPr>
        <w:t xml:space="preserve"> top few highest fees </w:t>
      </w:r>
      <w:r>
        <w:rPr>
          <w:sz w:val="24"/>
        </w:rPr>
        <w:t>within 10 years.</w:t>
      </w:r>
    </w:p>
    <w:p w:rsidR="003561E0" w:rsidRDefault="003F741D">
      <w:pPr>
        <w:spacing w:line="240" w:lineRule="auto"/>
      </w:pPr>
      <w:r>
        <w:rPr>
          <w:sz w:val="24"/>
        </w:rPr>
        <w:t>3) At the same t</w:t>
      </w:r>
      <w:r>
        <w:rPr>
          <w:sz w:val="24"/>
        </w:rPr>
        <w:t>ime,</w:t>
      </w:r>
      <w:r>
        <w:rPr>
          <w:sz w:val="24"/>
        </w:rPr>
        <w:t xml:space="preserve"> neither our treatment </w:t>
      </w:r>
      <w:r>
        <w:rPr>
          <w:sz w:val="24"/>
        </w:rPr>
        <w:t xml:space="preserve">fees nor the number of patients we treat has increased since the </w:t>
      </w:r>
      <w:r>
        <w:rPr>
          <w:sz w:val="24"/>
        </w:rPr>
        <w:t>regulation of our</w:t>
      </w:r>
      <w:r>
        <w:rPr>
          <w:sz w:val="24"/>
        </w:rPr>
        <w:t xml:space="preserve"> TCM/A profession. As a newly regulated health</w:t>
      </w:r>
      <w:r>
        <w:rPr>
          <w:sz w:val="24"/>
        </w:rPr>
        <w:t xml:space="preserve"> </w:t>
      </w:r>
      <w:r>
        <w:rPr>
          <w:sz w:val="24"/>
        </w:rPr>
        <w:t xml:space="preserve">profession, the majority of public </w:t>
      </w:r>
      <w:r>
        <w:rPr>
          <w:sz w:val="24"/>
        </w:rPr>
        <w:t>and private insurance plans</w:t>
      </w:r>
      <w:r>
        <w:rPr>
          <w:sz w:val="24"/>
        </w:rPr>
        <w:t xml:space="preserve"> still do not cover TCM/ Acupuncture treatments. In all, members </w:t>
      </w:r>
      <w:r>
        <w:rPr>
          <w:sz w:val="24"/>
        </w:rPr>
        <w:t>of our College are bearing more setup costs with the same level of income</w:t>
      </w:r>
      <w:r>
        <w:rPr>
          <w:sz w:val="24"/>
        </w:rPr>
        <w:t xml:space="preserve"> - and this is even before </w:t>
      </w:r>
      <w:r>
        <w:rPr>
          <w:sz w:val="24"/>
        </w:rPr>
        <w:t>the proposed registration fee increase is in place.</w:t>
      </w:r>
    </w:p>
    <w:p w:rsidR="003561E0" w:rsidRDefault="003F741D">
      <w:pPr>
        <w:spacing w:line="240" w:lineRule="auto"/>
      </w:pPr>
      <w:r>
        <w:rPr>
          <w:sz w:val="24"/>
        </w:rPr>
        <w:t>As a statutory public body, the College owes a fiduciary duty to the stakeholders: to keep the public an</w:t>
      </w:r>
      <w:r>
        <w:rPr>
          <w:sz w:val="24"/>
        </w:rPr>
        <w:t xml:space="preserve">d members fully informed as </w:t>
      </w:r>
      <w:r>
        <w:rPr>
          <w:sz w:val="24"/>
        </w:rPr>
        <w:t>to</w:t>
      </w:r>
      <w:r>
        <w:rPr>
          <w:sz w:val="24"/>
        </w:rPr>
        <w:t xml:space="preserve"> matters pertinent to the beneficiary’s interest in the </w:t>
      </w:r>
      <w:r>
        <w:rPr>
          <w:i/>
          <w:sz w:val="24"/>
        </w:rPr>
        <w:t>res</w:t>
      </w:r>
      <w:r>
        <w:rPr>
          <w:sz w:val="24"/>
        </w:rPr>
        <w:t>. We do not see the rationale to support the proposed amendment with statements such as</w:t>
      </w:r>
      <w:r>
        <w:rPr>
          <w:sz w:val="24"/>
        </w:rPr>
        <w:t>,</w:t>
      </w:r>
      <w:r>
        <w:rPr>
          <w:sz w:val="24"/>
        </w:rPr>
        <w:t xml:space="preserve"> “</w:t>
      </w:r>
      <w:r>
        <w:rPr>
          <w:i/>
          <w:sz w:val="24"/>
        </w:rPr>
        <w:t>poses a potential risk of overspending</w:t>
      </w:r>
      <w:r>
        <w:rPr>
          <w:sz w:val="24"/>
        </w:rPr>
        <w:t>…”</w:t>
      </w:r>
      <w:r>
        <w:rPr>
          <w:sz w:val="24"/>
        </w:rPr>
        <w:t>.</w:t>
      </w:r>
      <w:r>
        <w:rPr>
          <w:sz w:val="24"/>
        </w:rPr>
        <w:t xml:space="preserve">  </w:t>
      </w:r>
      <w:r>
        <w:rPr>
          <w:sz w:val="24"/>
        </w:rPr>
        <w:t>I</w:t>
      </w:r>
      <w:r>
        <w:rPr>
          <w:sz w:val="24"/>
        </w:rPr>
        <w:t>t invites further clarification o</w:t>
      </w:r>
      <w:r>
        <w:rPr>
          <w:sz w:val="24"/>
        </w:rPr>
        <w:t>n the College’s efficacy.</w:t>
      </w:r>
    </w:p>
    <w:p w:rsidR="003561E0" w:rsidRDefault="003F741D">
      <w:pPr>
        <w:spacing w:line="240" w:lineRule="auto"/>
      </w:pPr>
      <w:r>
        <w:rPr>
          <w:sz w:val="24"/>
        </w:rPr>
        <w:t>We appreciate that the College has its statutory responsibilities and requires a feasible and operational budget; however, from a very conservative income and expenses projections, we found that there is a significant buffers over</w:t>
      </w:r>
      <w:r>
        <w:rPr>
          <w:sz w:val="24"/>
        </w:rPr>
        <w:t xml:space="preserve"> a 5 years period till March 2017, refer to the Exhibit below. By retaining the current by-law fee structure still exists an abundant room for the Council to reconsider.</w:t>
      </w:r>
    </w:p>
    <w:p w:rsidR="003561E0" w:rsidRDefault="003F741D">
      <w:r>
        <w:rPr>
          <w:i/>
        </w:rPr>
        <w:t>Exhibit: Projected Expenditures and Membership Dues (March 2009 - March 2017)</w:t>
      </w:r>
    </w:p>
    <w:p w:rsidR="003561E0" w:rsidRDefault="003F741D">
      <w:r>
        <w:rPr>
          <w:u w:val="single"/>
        </w:rPr>
        <w:t>Year end                       _</w:t>
      </w:r>
      <w:r>
        <w:rPr>
          <w:u w:val="single"/>
        </w:rPr>
        <w:tab/>
        <w:t>Expenses in Dollars                  _</w:t>
      </w:r>
      <w:r>
        <w:rPr>
          <w:u w:val="single"/>
        </w:rPr>
        <w:tab/>
      </w:r>
      <w:r>
        <w:rPr>
          <w:u w:val="single"/>
        </w:rPr>
        <w:tab/>
        <w:t xml:space="preserve">Membership Due (projected)_   </w:t>
      </w:r>
      <w:r>
        <w:t>March 31, 2009</w:t>
      </w:r>
      <w:r>
        <w:tab/>
      </w:r>
      <w:r>
        <w:tab/>
      </w:r>
      <w:r>
        <w:t>492,069 (Annual Report)</w:t>
      </w:r>
    </w:p>
    <w:p w:rsidR="003561E0" w:rsidRDefault="003F741D">
      <w:r>
        <w:t>March 31, 2010</w:t>
      </w:r>
      <w:r>
        <w:tab/>
      </w:r>
      <w:r>
        <w:tab/>
        <w:t>558,149 (Annual Report)</w:t>
      </w:r>
    </w:p>
    <w:p w:rsidR="003561E0" w:rsidRDefault="003F741D">
      <w:r>
        <w:t>March 31, 2013</w:t>
      </w:r>
      <w:r>
        <w:tab/>
      </w:r>
      <w:r>
        <w:tab/>
        <w:t xml:space="preserve">756,168 (Annual Report, approx. +12%p.a. over 5 yrs)        </w:t>
      </w:r>
      <w:r>
        <w:tab/>
      </w:r>
    </w:p>
    <w:p w:rsidR="003561E0" w:rsidRDefault="003F741D">
      <w:r>
        <w:t>March 31, 2014</w:t>
      </w:r>
      <w:r>
        <w:tab/>
      </w:r>
      <w:r>
        <w:tab/>
        <w:t>846,908 (12% p.a., projected)</w:t>
      </w:r>
      <w:r>
        <w:tab/>
      </w:r>
      <w:r>
        <w:tab/>
        <w:t>2,422,950 (2,150x$&lt;960.5+169.5&gt;)</w:t>
      </w:r>
    </w:p>
    <w:p w:rsidR="003561E0" w:rsidRDefault="003F741D">
      <w:r>
        <w:t>March 31, 2015</w:t>
      </w:r>
      <w:r>
        <w:tab/>
      </w:r>
      <w:r>
        <w:tab/>
      </w:r>
      <w:r>
        <w:t>1,020,000 (~20% p.a., projected)</w:t>
      </w:r>
      <w:r>
        <w:tab/>
        <w:t>2,400,000 (2,450x$980) ~CPI-2%</w:t>
      </w:r>
    </w:p>
    <w:p w:rsidR="003561E0" w:rsidRDefault="003F741D">
      <w:r>
        <w:lastRenderedPageBreak/>
        <w:t>March 31, 2016</w:t>
      </w:r>
      <w:r>
        <w:tab/>
      </w:r>
      <w:r>
        <w:tab/>
        <w:t>1,220,000 (~20% p.a., projected)</w:t>
      </w:r>
      <w:r>
        <w:tab/>
        <w:t>2,700,000 (2,750x$1,000) ~CPI-2%</w:t>
      </w:r>
    </w:p>
    <w:p w:rsidR="003561E0" w:rsidRDefault="003F741D">
      <w:r>
        <w:t>March 31, 2017</w:t>
      </w:r>
      <w:r>
        <w:tab/>
      </w:r>
      <w:r>
        <w:tab/>
        <w:t>1,500,000 (~20% p.a., projected)</w:t>
      </w:r>
      <w:r>
        <w:tab/>
        <w:t>3,000,000 (3,050x$1,020) ~CPI-2%</w:t>
      </w:r>
    </w:p>
    <w:p w:rsidR="00A97929" w:rsidRDefault="00A97929">
      <w:r>
        <w:t>In summary, we agree with a hold on the annual rate increase for 2016. In addition, we proposed to change the bylaw by removing the +2% and only increase the rates each year based on CPI.</w:t>
      </w:r>
    </w:p>
    <w:p w:rsidR="00A97929" w:rsidRDefault="00A97929">
      <w:r>
        <w:t>We thank you for your time,</w:t>
      </w:r>
    </w:p>
    <w:p w:rsidR="00A97929" w:rsidRDefault="00A97929"/>
    <w:p w:rsidR="00A97929" w:rsidRDefault="00A97929"/>
    <w:p w:rsidR="00A97929" w:rsidRDefault="00A97929">
      <w:bookmarkStart w:id="0" w:name="_GoBack"/>
      <w:bookmarkEnd w:id="0"/>
    </w:p>
    <w:p w:rsidR="00A97929" w:rsidRDefault="00A97929">
      <w:r>
        <w:t>[NAME]</w:t>
      </w:r>
    </w:p>
    <w:p w:rsidR="00A97929" w:rsidRDefault="00A97929">
      <w:r>
        <w:t>CC: Hon. Dr. Eric Hoskins</w:t>
      </w:r>
    </w:p>
    <w:p w:rsidR="00A97929" w:rsidRPr="00A97929" w:rsidRDefault="00A97929">
      <w:pPr>
        <w:rPr>
          <w:i/>
        </w:rPr>
      </w:pPr>
      <w:r w:rsidRPr="00A97929">
        <w:rPr>
          <w:i/>
        </w:rPr>
        <w:t>Minister of Ministry of Health and Long-Term Care</w:t>
      </w:r>
    </w:p>
    <w:sectPr w:rsidR="00A97929" w:rsidRPr="00A97929">
      <w:footerReference w:type="default" r:id="rId7"/>
      <w:pgSz w:w="12242" w:h="14402"/>
      <w:pgMar w:top="1304" w:right="1474" w:bottom="147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1D" w:rsidRDefault="003F741D">
      <w:pPr>
        <w:spacing w:after="0" w:line="240" w:lineRule="auto"/>
      </w:pPr>
      <w:r>
        <w:separator/>
      </w:r>
    </w:p>
  </w:endnote>
  <w:endnote w:type="continuationSeparator" w:id="0">
    <w:p w:rsidR="003F741D" w:rsidRDefault="003F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0" w:rsidRDefault="003F741D">
    <w:pPr>
      <w:tabs>
        <w:tab w:val="center" w:pos="4153"/>
        <w:tab w:val="right" w:pos="8306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A97929">
      <w:rPr>
        <w:noProof/>
      </w:rPr>
      <w:t>3</w:t>
    </w:r>
    <w:r>
      <w:fldChar w:fldCharType="end"/>
    </w:r>
  </w:p>
  <w:p w:rsidR="003561E0" w:rsidRDefault="003561E0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1D" w:rsidRDefault="003F741D">
      <w:pPr>
        <w:spacing w:after="0" w:line="240" w:lineRule="auto"/>
      </w:pPr>
      <w:r>
        <w:separator/>
      </w:r>
    </w:p>
  </w:footnote>
  <w:footnote w:type="continuationSeparator" w:id="0">
    <w:p w:rsidR="003F741D" w:rsidRDefault="003F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9B4"/>
    <w:multiLevelType w:val="multilevel"/>
    <w:tmpl w:val="C5C6DF0A"/>
    <w:lvl w:ilvl="0">
      <w:start w:val="1"/>
      <w:numFmt w:val="bullet"/>
      <w:lvlText w:val="●"/>
      <w:lvlJc w:val="left"/>
      <w:pPr>
        <w:ind w:left="1560" w:firstLine="11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980" w:firstLine="15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240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firstLine="2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3240" w:firstLine="28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66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080" w:firstLine="36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500" w:firstLine="40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920" w:firstLine="45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0"/>
    <w:rsid w:val="003561E0"/>
    <w:rsid w:val="003F741D"/>
    <w:rsid w:val="00A77DDB"/>
    <w:rsid w:val="00A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3431E-C227-426A-9D20-571DD61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致安省中医师及针灸师管理局20140304.doc-JC.docx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致安省中医师及针灸师管理局20140304.doc-JC.docx</dc:title>
  <dc:creator>janecheung</dc:creator>
  <cp:lastModifiedBy>janecheung</cp:lastModifiedBy>
  <cp:revision>2</cp:revision>
  <dcterms:created xsi:type="dcterms:W3CDTF">2016-02-12T18:36:00Z</dcterms:created>
  <dcterms:modified xsi:type="dcterms:W3CDTF">2016-02-12T18:36:00Z</dcterms:modified>
</cp:coreProperties>
</file>